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21"/>
          <w:szCs w:val="21"/>
        </w:rPr>
      </w:pPr>
      <w:bookmarkStart w:id="0" w:name="_GoBack"/>
      <w:r>
        <w:rPr>
          <w:rFonts w:hint="eastAsia" w:ascii="黑体" w:hAnsi="黑体" w:eastAsia="黑体" w:cs="黑体"/>
          <w:sz w:val="21"/>
          <w:szCs w:val="21"/>
        </w:rPr>
        <w:t>附件</w:t>
      </w:r>
    </w:p>
    <w:p>
      <w:pPr>
        <w:spacing w:line="360" w:lineRule="auto"/>
        <w:jc w:val="center"/>
        <w:rPr>
          <w:rFonts w:hint="eastAsia"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北京市管理会计典型案例、优秀案例名单</w:t>
      </w:r>
    </w:p>
    <w:p>
      <w:pPr>
        <w:spacing w:line="360" w:lineRule="auto"/>
        <w:ind w:firstLine="420" w:firstLineChars="200"/>
        <w:rPr>
          <w:rFonts w:hint="eastAsia" w:ascii="黑体" w:hAnsi="黑体" w:eastAsia="黑体" w:cs="黑体"/>
          <w:sz w:val="21"/>
          <w:szCs w:val="21"/>
        </w:rPr>
      </w:pPr>
    </w:p>
    <w:p>
      <w:pPr>
        <w:spacing w:line="360" w:lineRule="auto"/>
        <w:ind w:firstLine="420" w:firstLineChars="200"/>
        <w:rPr>
          <w:rFonts w:hint="eastAsia" w:ascii="黑体" w:hAnsi="黑体" w:eastAsia="黑体" w:cs="黑体"/>
          <w:sz w:val="21"/>
          <w:szCs w:val="21"/>
        </w:rPr>
      </w:pPr>
      <w:r>
        <w:rPr>
          <w:rFonts w:hint="eastAsia" w:ascii="黑体" w:hAnsi="黑体" w:eastAsia="黑体" w:cs="黑体"/>
          <w:sz w:val="21"/>
          <w:szCs w:val="21"/>
        </w:rPr>
        <w:t>一、典型案例</w:t>
      </w:r>
    </w:p>
    <w:p>
      <w:pPr>
        <w:spacing w:line="360" w:lineRule="auto"/>
        <w:ind w:firstLine="420" w:firstLineChars="200"/>
        <w:rPr>
          <w:rFonts w:hint="eastAsia" w:ascii="黑体" w:hAnsi="黑体" w:eastAsia="黑体" w:cs="黑体"/>
          <w:sz w:val="21"/>
          <w:szCs w:val="21"/>
        </w:rPr>
      </w:pPr>
    </w:p>
    <w:tbl>
      <w:tblPr>
        <w:tblStyle w:val="4"/>
        <w:tblW w:w="849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2280"/>
        <w:gridCol w:w="375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b/>
                <w:color w:val="000000"/>
                <w:kern w:val="0"/>
                <w:sz w:val="21"/>
                <w:szCs w:val="21"/>
                <w:lang w:bidi="ar"/>
              </w:rPr>
              <w:t>序号</w:t>
            </w:r>
          </w:p>
        </w:tc>
        <w:tc>
          <w:tcPr>
            <w:tcW w:w="2280"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b/>
                <w:color w:val="000000"/>
                <w:kern w:val="0"/>
                <w:sz w:val="21"/>
                <w:szCs w:val="21"/>
                <w:lang w:bidi="ar"/>
              </w:rPr>
              <w:t>案例报送单位</w:t>
            </w:r>
          </w:p>
        </w:tc>
        <w:tc>
          <w:tcPr>
            <w:tcW w:w="3756"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b/>
                <w:color w:val="000000"/>
                <w:kern w:val="0"/>
                <w:sz w:val="21"/>
                <w:szCs w:val="21"/>
                <w:lang w:bidi="ar"/>
              </w:rPr>
              <w:t>案例名称</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b/>
                <w:color w:val="000000"/>
                <w:kern w:val="0"/>
                <w:sz w:val="21"/>
                <w:szCs w:val="21"/>
                <w:lang w:bidi="ar"/>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1</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北汽蓝谷信息技术有限公司</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基于价值链分析和数智应用技术的管理会计创新应用</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数字化管理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2</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北京市教育委员会</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北京市教育系统内部控制建设的实践与经验</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风险与内控管理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3</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北京市教育委员会</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基于成本绩效管理的北京市属高等教育财政财务管理机制改革与实践</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成本管控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4</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京东方科技集团股份有限公司</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以本量利分析为基础的企业经营法则</w:t>
            </w:r>
            <w:r>
              <w:rPr>
                <w:rStyle w:val="7"/>
                <w:rFonts w:hint="eastAsia" w:ascii="宋体" w:hAnsi="宋体" w:cs="宋体"/>
                <w:kern w:val="0"/>
                <w:sz w:val="21"/>
                <w:szCs w:val="21"/>
                <w:lang w:bidi="ar"/>
              </w:rPr>
              <w:t>-</w:t>
            </w:r>
            <w:r>
              <w:rPr>
                <w:rStyle w:val="8"/>
                <w:kern w:val="0"/>
                <w:sz w:val="21"/>
                <w:szCs w:val="21"/>
                <w:lang w:bidi="ar"/>
              </w:rPr>
              <w:t>京东方的管理会计实践</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5</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北京市海淀医院</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业财一体化服务平台提升医院财务管理会计深入应用</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信息化管理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6</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 xml:space="preserve">北京市总工会 </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财务内控一体化管理信息系统</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风险与内控管理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7</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首都医科大学附属北京胸科医院</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绩效视角下的公立医院全面预算管理</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45"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8</w:t>
            </w:r>
          </w:p>
        </w:tc>
        <w:tc>
          <w:tcPr>
            <w:tcW w:w="2280"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北京安贞医院</w:t>
            </w:r>
          </w:p>
        </w:tc>
        <w:tc>
          <w:tcPr>
            <w:tcW w:w="3756" w:type="dxa"/>
            <w:vAlign w:val="center"/>
          </w:tcPr>
          <w:p>
            <w:pPr>
              <w:widowControl/>
              <w:spacing w:line="360" w:lineRule="auto"/>
              <w:jc w:val="left"/>
              <w:textAlignment w:val="center"/>
              <w:rPr>
                <w:rFonts w:hint="eastAsia" w:ascii="宋体" w:hAnsi="宋体" w:cs="宋体"/>
                <w:kern w:val="0"/>
                <w:sz w:val="21"/>
                <w:szCs w:val="21"/>
              </w:rPr>
            </w:pPr>
            <w:r>
              <w:rPr>
                <w:rFonts w:hint="eastAsia" w:ascii="宋体" w:hAnsi="宋体" w:cs="宋体"/>
                <w:color w:val="000000"/>
                <w:kern w:val="0"/>
                <w:sz w:val="21"/>
                <w:szCs w:val="21"/>
                <w:lang w:bidi="ar"/>
              </w:rPr>
              <w:t>管理成本体系在医院运营管理中的应用</w:t>
            </w:r>
          </w:p>
        </w:tc>
        <w:tc>
          <w:tcPr>
            <w:tcW w:w="1812" w:type="dxa"/>
            <w:vAlign w:val="center"/>
          </w:tcPr>
          <w:p>
            <w:pPr>
              <w:widowControl/>
              <w:spacing w:line="360" w:lineRule="auto"/>
              <w:jc w:val="center"/>
              <w:textAlignment w:val="center"/>
              <w:rPr>
                <w:rFonts w:hint="eastAsia" w:ascii="宋体" w:hAnsi="宋体" w:cs="宋体"/>
                <w:kern w:val="0"/>
                <w:sz w:val="21"/>
                <w:szCs w:val="21"/>
              </w:rPr>
            </w:pPr>
            <w:r>
              <w:rPr>
                <w:rFonts w:hint="eastAsia" w:ascii="宋体" w:hAnsi="宋体" w:cs="宋体"/>
                <w:color w:val="000000"/>
                <w:kern w:val="0"/>
                <w:sz w:val="21"/>
                <w:szCs w:val="21"/>
                <w:lang w:bidi="ar"/>
              </w:rPr>
              <w:t>成本管控</w:t>
            </w:r>
          </w:p>
        </w:tc>
      </w:tr>
    </w:tbl>
    <w:p>
      <w:pPr>
        <w:spacing w:line="360" w:lineRule="auto"/>
        <w:ind w:firstLine="420" w:firstLineChars="200"/>
        <w:rPr>
          <w:rFonts w:hint="eastAsia" w:ascii="黑体" w:hAnsi="黑体" w:eastAsia="黑体" w:cs="黑体"/>
          <w:sz w:val="21"/>
          <w:szCs w:val="21"/>
        </w:rPr>
      </w:pPr>
    </w:p>
    <w:p>
      <w:pPr>
        <w:spacing w:line="360" w:lineRule="auto"/>
        <w:ind w:firstLine="420" w:firstLineChars="200"/>
        <w:rPr>
          <w:rFonts w:hint="eastAsia" w:ascii="黑体" w:hAnsi="黑体" w:eastAsia="黑体" w:cs="黑体"/>
          <w:sz w:val="21"/>
          <w:szCs w:val="21"/>
        </w:rPr>
      </w:pPr>
      <w:r>
        <w:rPr>
          <w:rFonts w:hint="eastAsia" w:ascii="黑体" w:hAnsi="黑体" w:eastAsia="黑体" w:cs="黑体"/>
          <w:sz w:val="21"/>
          <w:szCs w:val="21"/>
        </w:rPr>
        <w:t>二、优秀案例</w:t>
      </w:r>
    </w:p>
    <w:p>
      <w:pPr>
        <w:spacing w:line="360" w:lineRule="auto"/>
        <w:ind w:firstLine="420" w:firstLineChars="200"/>
        <w:rPr>
          <w:rFonts w:hint="eastAsia" w:ascii="黑体" w:hAnsi="黑体" w:eastAsia="黑体" w:cs="黑体"/>
          <w:sz w:val="21"/>
          <w:szCs w:val="21"/>
        </w:rPr>
      </w:pPr>
    </w:p>
    <w:tbl>
      <w:tblPr>
        <w:tblStyle w:val="4"/>
        <w:tblW w:w="849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31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b/>
                <w:color w:val="000000"/>
                <w:kern w:val="0"/>
                <w:sz w:val="21"/>
                <w:szCs w:val="21"/>
                <w:lang w:bidi="ar"/>
              </w:rPr>
              <w:t>排序</w:t>
            </w:r>
          </w:p>
        </w:tc>
        <w:tc>
          <w:tcPr>
            <w:tcW w:w="3312"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b/>
                <w:color w:val="000000"/>
                <w:kern w:val="0"/>
                <w:sz w:val="21"/>
                <w:szCs w:val="21"/>
                <w:lang w:bidi="ar"/>
              </w:rPr>
              <w:t>案例报送单位</w:t>
            </w:r>
          </w:p>
        </w:tc>
        <w:tc>
          <w:tcPr>
            <w:tcW w:w="4536"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b/>
                <w:color w:val="000000"/>
                <w:kern w:val="0"/>
                <w:sz w:val="21"/>
                <w:szCs w:val="21"/>
                <w:lang w:bidi="ar"/>
              </w:rPr>
              <w:t>案例名称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1</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北京一轻食品集团有限公司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一轻食品集团业财融合数智化转型建设实践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2</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北汽福田汽车股份有限公司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先进制造业产业链资金转型升级实践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3</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北京朝阳国际科技发展集团有限公司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基于信息化的预算体系建设在中小企业中的应用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4</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北京首农食品集团有限公司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以财务智能化成果</w:t>
            </w:r>
            <w:r>
              <w:rPr>
                <w:rStyle w:val="9"/>
                <w:kern w:val="0"/>
                <w:sz w:val="21"/>
                <w:szCs w:val="21"/>
                <w:lang w:bidi="ar"/>
              </w:rPr>
              <w:t xml:space="preserve"> </w:t>
            </w:r>
            <w:r>
              <w:rPr>
                <w:rStyle w:val="10"/>
                <w:rFonts w:hint="default"/>
                <w:kern w:val="0"/>
                <w:sz w:val="21"/>
                <w:szCs w:val="21"/>
                <w:lang w:bidi="ar"/>
              </w:rPr>
              <w:t>助力企业高质量发展—首农食品集团财务智能化分析系统典型案例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5</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北京市西城区广外医院</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医院盈亏平衡点下的可支配收入</w:t>
            </w:r>
            <w:r>
              <w:rPr>
                <w:rStyle w:val="9"/>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48" w:type="dxa"/>
            <w:vAlign w:val="center"/>
          </w:tcPr>
          <w:p>
            <w:pPr>
              <w:widowControl/>
              <w:spacing w:line="360" w:lineRule="auto"/>
              <w:jc w:val="center"/>
              <w:textAlignment w:val="center"/>
              <w:rPr>
                <w:rFonts w:hint="eastAsia" w:ascii="宋体" w:hAnsi="宋体" w:cs="宋体"/>
                <w:color w:val="000000"/>
                <w:kern w:val="0"/>
                <w:sz w:val="21"/>
                <w:szCs w:val="21"/>
                <w:lang w:bidi="ar"/>
              </w:rPr>
            </w:pPr>
            <w:r>
              <w:rPr>
                <w:rFonts w:ascii="宋体" w:hAnsi="宋体" w:cs="宋体"/>
                <w:color w:val="000000"/>
                <w:kern w:val="0"/>
                <w:sz w:val="21"/>
                <w:szCs w:val="21"/>
                <w:lang w:bidi="ar"/>
              </w:rPr>
              <w:t>6</w:t>
            </w:r>
          </w:p>
        </w:tc>
        <w:tc>
          <w:tcPr>
            <w:tcW w:w="3312"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北京奔驰汽车有限公司</w:t>
            </w:r>
          </w:p>
        </w:tc>
        <w:tc>
          <w:tcPr>
            <w:tcW w:w="4536"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搭建公司财务信息化</w:t>
            </w:r>
            <w:r>
              <w:rPr>
                <w:rStyle w:val="9"/>
                <w:rFonts w:hint="eastAsia" w:ascii="宋体" w:hAnsi="宋体" w:cs="宋体"/>
                <w:kern w:val="0"/>
                <w:sz w:val="21"/>
                <w:szCs w:val="21"/>
                <w:lang w:bidi="ar"/>
              </w:rPr>
              <w:t>ABCD</w:t>
            </w:r>
            <w:r>
              <w:rPr>
                <w:rStyle w:val="10"/>
                <w:rFonts w:hint="default"/>
                <w:kern w:val="0"/>
                <w:sz w:val="21"/>
                <w:szCs w:val="21"/>
                <w:lang w:bidi="ar"/>
              </w:rPr>
              <w:t>体系</w:t>
            </w:r>
            <w:r>
              <w:rPr>
                <w:rStyle w:val="9"/>
                <w:rFonts w:hint="eastAsia" w:ascii="宋体" w:hAnsi="宋体" w:cs="宋体"/>
                <w:kern w:val="0"/>
                <w:sz w:val="21"/>
                <w:szCs w:val="21"/>
                <w:lang w:bidi="ar"/>
              </w:rPr>
              <w:t>,</w:t>
            </w:r>
            <w:r>
              <w:rPr>
                <w:rStyle w:val="10"/>
                <w:rFonts w:hint="default"/>
                <w:kern w:val="0"/>
                <w:sz w:val="21"/>
                <w:szCs w:val="21"/>
                <w:lang w:bidi="ar"/>
              </w:rPr>
              <w:t>助推业财融合深化落地</w:t>
            </w:r>
            <w:r>
              <w:rPr>
                <w:rStyle w:val="9"/>
                <w:rFonts w:hint="eastAsia" w:ascii="宋体" w:hAnsi="宋体" w:cs="宋体"/>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7</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北京中医药大学附属护国寺中医医院</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作业成本法在医院的应用研究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8</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北京红星股份有限公司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红星股份业财融合成功案例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9</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北京世园投资发展有限责任公司</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世园公园运营成本管控方法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48" w:type="dxa"/>
            <w:vAlign w:val="center"/>
          </w:tcPr>
          <w:p>
            <w:pPr>
              <w:widowControl/>
              <w:spacing w:line="360" w:lineRule="auto"/>
              <w:jc w:val="center"/>
              <w:textAlignment w:val="center"/>
              <w:rPr>
                <w:rFonts w:ascii="宋体" w:hAnsi="宋体" w:cs="宋体"/>
                <w:color w:val="000000"/>
                <w:kern w:val="0"/>
                <w:sz w:val="21"/>
                <w:szCs w:val="21"/>
                <w:lang w:bidi="ar"/>
              </w:rPr>
            </w:pPr>
            <w:r>
              <w:rPr>
                <w:rFonts w:ascii="宋体" w:hAnsi="宋体" w:cs="宋体"/>
                <w:color w:val="000000"/>
                <w:kern w:val="0"/>
                <w:sz w:val="21"/>
                <w:szCs w:val="21"/>
                <w:lang w:bidi="ar"/>
              </w:rPr>
              <w:t>10</w:t>
            </w:r>
          </w:p>
        </w:tc>
        <w:tc>
          <w:tcPr>
            <w:tcW w:w="3312" w:type="dxa"/>
            <w:vAlign w:val="center"/>
          </w:tcPr>
          <w:p>
            <w:pPr>
              <w:widowControl/>
              <w:spacing w:line="360" w:lineRule="auto"/>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北京市公安局房山分局</w:t>
            </w:r>
          </w:p>
        </w:tc>
        <w:tc>
          <w:tcPr>
            <w:tcW w:w="4536" w:type="dxa"/>
            <w:vAlign w:val="center"/>
          </w:tcPr>
          <w:p>
            <w:pPr>
              <w:widowControl/>
              <w:spacing w:line="360" w:lineRule="auto"/>
              <w:jc w:val="left"/>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让应用“无微不至”，让管理“纵观全局”</w:t>
            </w:r>
            <w:r>
              <w:rPr>
                <w:rStyle w:val="9"/>
                <w:rFonts w:ascii="宋体" w:hAnsi="宋体" w:cs="宋体"/>
                <w:kern w:val="0"/>
                <w:sz w:val="21"/>
                <w:szCs w:val="21"/>
                <w:lang w:bidi="ar"/>
              </w:rPr>
              <w:t>—</w:t>
            </w:r>
            <w:r>
              <w:rPr>
                <w:rStyle w:val="10"/>
                <w:rFonts w:hint="default"/>
                <w:kern w:val="0"/>
                <w:sz w:val="21"/>
                <w:szCs w:val="21"/>
                <w:lang w:bidi="ar"/>
              </w:rPr>
              <w:t>构建公安体系智慧警保综合管理系统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11</w:t>
            </w:r>
          </w:p>
        </w:tc>
        <w:tc>
          <w:tcPr>
            <w:tcW w:w="3312" w:type="dxa"/>
            <w:vAlign w:val="center"/>
          </w:tcPr>
          <w:p>
            <w:pPr>
              <w:widowControl/>
              <w:spacing w:line="360" w:lineRule="auto"/>
              <w:jc w:val="left"/>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北京汽车股份有限公司</w:t>
            </w:r>
          </w:p>
        </w:tc>
        <w:tc>
          <w:tcPr>
            <w:tcW w:w="4536" w:type="dxa"/>
            <w:vAlign w:val="center"/>
          </w:tcPr>
          <w:p>
            <w:pPr>
              <w:widowControl/>
              <w:spacing w:line="360" w:lineRule="auto"/>
              <w:jc w:val="left"/>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业财协同价值导向型全面质量成本管理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48" w:type="dxa"/>
            <w:vAlign w:val="center"/>
          </w:tcPr>
          <w:p>
            <w:pPr>
              <w:widowControl/>
              <w:spacing w:line="360" w:lineRule="auto"/>
              <w:jc w:val="center"/>
              <w:textAlignment w:val="center"/>
              <w:rPr>
                <w:rFonts w:hint="eastAsia" w:ascii="仿宋_GB2312" w:hAnsi="仿宋_GB2312" w:eastAsia="仿宋_GB2312" w:cs="仿宋_GB2312"/>
                <w:kern w:val="0"/>
                <w:sz w:val="21"/>
                <w:szCs w:val="21"/>
              </w:rPr>
            </w:pPr>
            <w:r>
              <w:rPr>
                <w:rFonts w:ascii="宋体" w:hAnsi="宋体" w:cs="宋体"/>
                <w:color w:val="000000"/>
                <w:kern w:val="0"/>
                <w:sz w:val="21"/>
                <w:szCs w:val="21"/>
                <w:lang w:bidi="ar"/>
              </w:rPr>
              <w:t>12</w:t>
            </w:r>
          </w:p>
        </w:tc>
        <w:tc>
          <w:tcPr>
            <w:tcW w:w="3312"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北京市延庆区医院</w:t>
            </w:r>
          </w:p>
        </w:tc>
        <w:tc>
          <w:tcPr>
            <w:tcW w:w="4536" w:type="dxa"/>
            <w:vAlign w:val="center"/>
          </w:tcPr>
          <w:p>
            <w:pPr>
              <w:widowControl/>
              <w:spacing w:line="360" w:lineRule="auto"/>
              <w:textAlignment w:val="center"/>
              <w:rPr>
                <w:rFonts w:hint="eastAsia" w:ascii="仿宋_GB2312" w:hAnsi="仿宋_GB2312" w:eastAsia="仿宋_GB2312" w:cs="仿宋_GB2312"/>
                <w:kern w:val="0"/>
                <w:sz w:val="21"/>
                <w:szCs w:val="21"/>
              </w:rPr>
            </w:pPr>
            <w:r>
              <w:rPr>
                <w:rFonts w:hint="eastAsia" w:ascii="宋体" w:hAnsi="宋体" w:cs="宋体"/>
                <w:color w:val="000000"/>
                <w:kern w:val="0"/>
                <w:sz w:val="21"/>
                <w:szCs w:val="21"/>
                <w:lang w:bidi="ar"/>
              </w:rPr>
              <w:t>医院管理会计体系建设与应用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648" w:type="dxa"/>
            <w:vAlign w:val="center"/>
          </w:tcPr>
          <w:p>
            <w:pPr>
              <w:widowControl/>
              <w:spacing w:line="360" w:lineRule="auto"/>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13</w:t>
            </w:r>
          </w:p>
        </w:tc>
        <w:tc>
          <w:tcPr>
            <w:tcW w:w="3312" w:type="dxa"/>
            <w:vAlign w:val="center"/>
          </w:tcPr>
          <w:p>
            <w:pPr>
              <w:widowControl/>
              <w:spacing w:line="360" w:lineRule="auto"/>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北京市丰台区财政局 </w:t>
            </w:r>
          </w:p>
        </w:tc>
        <w:tc>
          <w:tcPr>
            <w:tcW w:w="4536" w:type="dxa"/>
            <w:vAlign w:val="center"/>
          </w:tcPr>
          <w:p>
            <w:pPr>
              <w:widowControl/>
              <w:spacing w:line="360" w:lineRule="auto"/>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管理会计工具在创建节约型机关中的应用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48" w:type="dxa"/>
            <w:vAlign w:val="center"/>
          </w:tcPr>
          <w:p>
            <w:pPr>
              <w:widowControl/>
              <w:spacing w:line="360" w:lineRule="auto"/>
              <w:jc w:val="center"/>
              <w:textAlignment w:val="center"/>
              <w:rPr>
                <w:rFonts w:ascii="宋体" w:hAnsi="宋体" w:cs="宋体"/>
                <w:color w:val="000000"/>
                <w:kern w:val="0"/>
                <w:sz w:val="21"/>
                <w:szCs w:val="21"/>
                <w:lang w:bidi="ar"/>
              </w:rPr>
            </w:pPr>
            <w:r>
              <w:rPr>
                <w:rFonts w:ascii="宋体" w:hAnsi="宋体" w:cs="宋体"/>
                <w:color w:val="000000"/>
                <w:kern w:val="0"/>
                <w:sz w:val="21"/>
                <w:szCs w:val="21"/>
                <w:lang w:bidi="ar"/>
              </w:rPr>
              <w:t>14</w:t>
            </w:r>
          </w:p>
        </w:tc>
        <w:tc>
          <w:tcPr>
            <w:tcW w:w="3312" w:type="dxa"/>
            <w:vAlign w:val="center"/>
          </w:tcPr>
          <w:p>
            <w:pPr>
              <w:widowControl/>
              <w:spacing w:line="360" w:lineRule="auto"/>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北京交通运输职业学院</w:t>
            </w:r>
          </w:p>
        </w:tc>
        <w:tc>
          <w:tcPr>
            <w:tcW w:w="4536" w:type="dxa"/>
            <w:vAlign w:val="center"/>
          </w:tcPr>
          <w:p>
            <w:pPr>
              <w:widowControl/>
              <w:spacing w:line="360" w:lineRule="auto"/>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助推财务治理现代化的预算绩效内控一体化系统设计与实施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48" w:type="dxa"/>
            <w:vAlign w:val="center"/>
          </w:tcPr>
          <w:p>
            <w:pPr>
              <w:widowControl/>
              <w:spacing w:line="360" w:lineRule="auto"/>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15</w:t>
            </w:r>
          </w:p>
        </w:tc>
        <w:tc>
          <w:tcPr>
            <w:tcW w:w="3312"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北京城建集团有限责任公司 </w:t>
            </w:r>
          </w:p>
        </w:tc>
        <w:tc>
          <w:tcPr>
            <w:tcW w:w="4536"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 xml:space="preserve">A企业集团管理会计文化建设案例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48" w:type="dxa"/>
            <w:vAlign w:val="center"/>
          </w:tcPr>
          <w:p>
            <w:pPr>
              <w:spacing w:line="360" w:lineRule="auto"/>
              <w:jc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16</w:t>
            </w:r>
          </w:p>
        </w:tc>
        <w:tc>
          <w:tcPr>
            <w:tcW w:w="3312"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北京首创生态环保集团股份有限公司</w:t>
            </w:r>
          </w:p>
        </w:tc>
        <w:tc>
          <w:tcPr>
            <w:tcW w:w="4536" w:type="dxa"/>
            <w:vAlign w:val="center"/>
          </w:tcPr>
          <w:p>
            <w:pPr>
              <w:widowControl/>
              <w:spacing w:line="360" w:lineRule="auto"/>
              <w:jc w:val="left"/>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以金融工具创新（REITs）促进环保企业重资产轻化转型</w:t>
            </w:r>
          </w:p>
        </w:tc>
      </w:tr>
    </w:tbl>
    <w:p>
      <w:pPr>
        <w:spacing w:line="360" w:lineRule="auto"/>
        <w:rPr>
          <w:sz w:val="21"/>
          <w:szCs w:val="21"/>
        </w:rPr>
      </w:pPr>
    </w:p>
    <w:p>
      <w:pPr>
        <w:spacing w:line="360" w:lineRule="auto"/>
        <w:rPr>
          <w:sz w:val="21"/>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55042545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buXfQAAAAAgEAAA8AAAAAAAAAAQAgAAAAIgAA&#10;AGRycy9kb3ducmV2LnhtbFBLAQIUABQAAAAIAIdO4kBj+zdZEAIAAAoEAAAOAAAAAAAAAAEAIAAA&#10;AB8BAABkcnMvZTJvRG9jLnhtbFBLBQYAAAAABgAGAFkBAACh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5ZjBiYmQ3ODBlODE1MWJkYzdiOWY2MzViNWQzZDcifQ=="/>
  </w:docVars>
  <w:rsids>
    <w:rsidRoot w:val="00D71E02"/>
    <w:rsid w:val="00D71E02"/>
    <w:rsid w:val="4DFF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14:ligatures w14:val="none"/>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table" w:styleId="4">
    <w:name w:val="Table Grid"/>
    <w:qFormat/>
    <w:uiPriority w:val="0"/>
    <w:pPr>
      <w:widowControl w:val="0"/>
      <w:jc w:val="both"/>
    </w:pPr>
    <w:rPr>
      <w:rFonts w:ascii="Calibri" w:hAnsi="Calibri"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6">
    <w:name w:val="页脚 字符"/>
    <w:basedOn w:val="5"/>
    <w:link w:val="2"/>
    <w:uiPriority w:val="0"/>
    <w:rPr>
      <w:rFonts w:ascii="Calibri" w:hAnsi="Calibri" w:eastAsia="宋体" w:cs="Times New Roman"/>
      <w:sz w:val="18"/>
      <w:szCs w:val="24"/>
      <w14:ligatures w14:val="none"/>
    </w:rPr>
  </w:style>
  <w:style w:type="character" w:customStyle="1" w:styleId="7">
    <w:name w:val="font11"/>
    <w:qFormat/>
    <w:uiPriority w:val="0"/>
    <w:rPr>
      <w:rFonts w:ascii="Calibri" w:hAnsi="Calibri" w:cs="Calibri"/>
      <w:color w:val="000000"/>
      <w:sz w:val="24"/>
      <w:szCs w:val="24"/>
      <w:u w:val="none"/>
    </w:rPr>
  </w:style>
  <w:style w:type="character" w:customStyle="1" w:styleId="8">
    <w:name w:val="font21"/>
    <w:qFormat/>
    <w:uiPriority w:val="0"/>
    <w:rPr>
      <w:rFonts w:hint="eastAsia" w:ascii="宋体" w:hAnsi="宋体" w:eastAsia="宋体" w:cs="宋体"/>
      <w:color w:val="000000"/>
      <w:sz w:val="24"/>
      <w:szCs w:val="24"/>
      <w:u w:val="none"/>
    </w:rPr>
  </w:style>
  <w:style w:type="character" w:customStyle="1" w:styleId="9">
    <w:name w:val="font01"/>
    <w:qFormat/>
    <w:uiPriority w:val="0"/>
    <w:rPr>
      <w:rFonts w:ascii="Calibri" w:hAnsi="Calibri" w:cs="Calibri"/>
      <w:color w:val="000000"/>
      <w:sz w:val="24"/>
      <w:szCs w:val="24"/>
      <w:u w:val="none"/>
    </w:rPr>
  </w:style>
  <w:style w:type="character" w:customStyle="1" w:styleId="1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870</Characters>
  <Lines>7</Lines>
  <Paragraphs>2</Paragraphs>
  <TotalTime>26</TotalTime>
  <ScaleCrop>false</ScaleCrop>
  <LinksUpToDate>false</LinksUpToDate>
  <CharactersWithSpaces>1020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2023-10-11T08:56:00Z</dcterms:created>
  <dc:creator>旭 田</dc:creator>
  <cp:lastModifiedBy>Administrator</cp:lastModifiedBy>
  <dcterms:modified xsi:type="dcterms:W3CDTF">2023-10-13T11:32:51Z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D1C9193F75994182A69D3720C4A9D1BC_12</vt:lpwstr>
  </property>
</Properties>
</file>